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93" w:rsidRPr="006B5193" w:rsidRDefault="006B5193" w:rsidP="006B5193">
      <w:pPr>
        <w:shd w:val="clear" w:color="auto" w:fill="F9FAFC"/>
        <w:spacing w:before="450" w:after="450" w:line="540" w:lineRule="atLeast"/>
        <w:outlineLvl w:val="1"/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t>Как подготовиться к 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t>?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Накануне и в день сдачи крови запрещено употреблять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 жирную, жареную, острую и копченую пищу, колбасные изделия, а также мясные, рыбные и молочные продукты, яйца и масло (в 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т.ч</w:t>
      </w:r>
      <w:proofErr w:type="gram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.р</w:t>
      </w:r>
      <w:proofErr w:type="gram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астительное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), шоколад, орехи и финики, авокадо, свеклу, бананы. </w:t>
      </w: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Натощак сдавать кровь не нужно!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proofErr w:type="gram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Лучше пить сладкий чай с вареньем, соки, морсы, компоты, минеральную воду и есть хлеб, сухари, сушки, отварные крупы, макароны на воде без масла, овощи и фрукты, КРОМЕ авокадо, свеклы, бананов.</w:t>
      </w:r>
      <w:proofErr w:type="gramEnd"/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За 48 часов до визита в учреждение службы крови нельзя употреблять алкоголь, а за 72 часа — принимать лекарства, содержащие аспирин и анальгетики.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Также за час до процедуры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следует воздержаться от курения.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Медики установили, что лучше всего на кровопотерю организм реагирует именно в утренние часы. И чем раньше происходит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донация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, тем легче переносится эта процедура. После 12:00 сдавать кровь рекомендуется только постоянным донорам.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Не следует планировать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донацию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после ночного дежурства или просто бессонной ночи.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Не планируйте сдачу крови непосредственно перед экзаменами, соревнованиями, сдачей проекта, на время особенно интенсивного периода работы и т. п.</w:t>
      </w:r>
    </w:p>
    <w:p w:rsidR="006B5193" w:rsidRPr="006B5193" w:rsidRDefault="006B5193" w:rsidP="006B5193">
      <w:pPr>
        <w:numPr>
          <w:ilvl w:val="0"/>
          <w:numId w:val="1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При себе необходимо иметь оригинал паспорта.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E9392C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E9392C"/>
          <w:sz w:val="28"/>
          <w:szCs w:val="30"/>
          <w:lang w:eastAsia="ru-RU"/>
        </w:rPr>
        <w:t>Следование этим несложным правилам особенно важно при сдаче тромбоцитов или плазмы, их нарушение повлияет на качество заготавливаемых компонентов крови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Что касается самочувствия во время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кроводачи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, то у некоторых людей наблюдается легкое головокружение. Недомогание может быть незначительным понижением давления. Однако обычно организм здорового человека с этим легко справляется.</w:t>
      </w:r>
    </w:p>
    <w:p w:rsidR="006B5193" w:rsidRPr="006B5193" w:rsidRDefault="006B5193" w:rsidP="006B5193">
      <w:pPr>
        <w:shd w:val="clear" w:color="auto" w:fill="F9FAFC"/>
        <w:spacing w:before="450" w:after="450" w:line="540" w:lineRule="atLeast"/>
        <w:outlineLvl w:val="1"/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lastRenderedPageBreak/>
        <w:t xml:space="preserve">После совершения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t>донации</w:t>
      </w:r>
      <w:proofErr w:type="spellEnd"/>
    </w:p>
    <w:p w:rsidR="006B5193" w:rsidRPr="006B5193" w:rsidRDefault="006B5193" w:rsidP="006B5193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Непосредственно после сдачи крови посидите расслабленно в течение 10–15 минут.</w:t>
      </w:r>
    </w:p>
    <w:p w:rsidR="006B5193" w:rsidRPr="006B5193" w:rsidRDefault="006B5193" w:rsidP="006B5193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Если вы чувствуете головокружение или слабость, обратитесь к медперсоналу. Самый простой способ помочь себе: лечь на спину и поднять ноги выше головы, либо сесть и опустить голову между колен.</w:t>
      </w:r>
    </w:p>
    <w:p w:rsidR="006B5193" w:rsidRPr="006B5193" w:rsidRDefault="006B5193" w:rsidP="006B5193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Воздержитесь от курения в течение часа после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</w:t>
      </w:r>
    </w:p>
    <w:p w:rsidR="006B5193" w:rsidRPr="006B5193" w:rsidRDefault="006B5193" w:rsidP="006B5193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Не снимайте повязку в течение 3–4 часов, старайтесь, чтобы она не намокла.</w:t>
      </w:r>
    </w:p>
    <w:p w:rsidR="006B5193" w:rsidRPr="006B5193" w:rsidRDefault="006B5193" w:rsidP="006B5193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Избегайте в этот день тяжелых физических и спортивных нагрузок, подъем тяжестей, в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т.ч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 и сумок с покупками.</w:t>
      </w:r>
    </w:p>
    <w:p w:rsidR="006B5193" w:rsidRPr="006B5193" w:rsidRDefault="006B5193" w:rsidP="006B5193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Полноценно и регулярно питайтесь в течение двух суток после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и выпивайте не менее двух литров жидкости в день: соки, воду, некрепкий чай. Употребление алкоголя не рекомендуется.</w:t>
      </w:r>
    </w:p>
    <w:p w:rsidR="006B5193" w:rsidRPr="0064219D" w:rsidRDefault="006B5193" w:rsidP="0064219D">
      <w:pPr>
        <w:numPr>
          <w:ilvl w:val="0"/>
          <w:numId w:val="2"/>
        </w:numPr>
        <w:shd w:val="clear" w:color="auto" w:fill="F9FAFC"/>
        <w:spacing w:before="600" w:after="600" w:line="240" w:lineRule="auto"/>
        <w:ind w:left="0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Ограничений по вождению автомобиля в день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кроводачи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нет. За руль мотоцикла можно садиться через 2 часа после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</w:t>
      </w:r>
    </w:p>
    <w:p w:rsidR="006B5193" w:rsidRPr="006B5193" w:rsidRDefault="006B5193" w:rsidP="006B5193">
      <w:pPr>
        <w:shd w:val="clear" w:color="auto" w:fill="F9FAFC"/>
        <w:spacing w:before="450" w:after="450" w:line="540" w:lineRule="atLeast"/>
        <w:outlineLvl w:val="1"/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t>Как часто можно сдавать кровь?</w:t>
      </w:r>
    </w:p>
    <w:p w:rsidR="006B5193" w:rsidRPr="006B5193" w:rsidRDefault="006B5193" w:rsidP="006B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shd w:val="clear" w:color="auto" w:fill="F9FAFC"/>
          <w:lang w:eastAsia="ru-RU"/>
        </w:rPr>
        <w:t>В целях безопасности донорства также важно соблюдать правила, установленные медиками. Так, мужчины могут сдавать кровь не более 5 раз в год, женщины — не более 4.</w:t>
      </w:r>
    </w:p>
    <w:p w:rsidR="006B5193" w:rsidRPr="006B5193" w:rsidRDefault="006B5193" w:rsidP="006B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</w:r>
    </w:p>
    <w:p w:rsidR="006B5193" w:rsidRPr="0064219D" w:rsidRDefault="006B5193" w:rsidP="0064219D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Учреждение службы крови оставляет за собой право увеличить данные интервалы в зависимости от потребностей медицинских организаций в тех или иных компонентах донорской крови. Узнать о действующей потребности Вы можете, обратившись в интересующее Вас </w:t>
      </w:r>
      <w:hyperlink r:id="rId6" w:history="1">
        <w:r w:rsidRPr="006B5193">
          <w:rPr>
            <w:rFonts w:ascii="Times New Roman" w:eastAsia="Times New Roman" w:hAnsi="Times New Roman" w:cs="Times New Roman"/>
            <w:color w:val="00648F"/>
            <w:sz w:val="28"/>
            <w:szCs w:val="30"/>
            <w:u w:val="single"/>
            <w:bdr w:val="none" w:sz="0" w:space="0" w:color="auto" w:frame="1"/>
            <w:lang w:eastAsia="ru-RU"/>
          </w:rPr>
          <w:t>учреждение службы крови</w:t>
        </w:r>
      </w:hyperlink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 или воспользовавшись </w:t>
      </w:r>
      <w:hyperlink r:id="rId7" w:history="1">
        <w:r w:rsidRPr="006B5193">
          <w:rPr>
            <w:rFonts w:ascii="Times New Roman" w:eastAsia="Times New Roman" w:hAnsi="Times New Roman" w:cs="Times New Roman"/>
            <w:color w:val="04577A"/>
            <w:sz w:val="28"/>
            <w:szCs w:val="30"/>
            <w:u w:val="single"/>
            <w:bdr w:val="none" w:sz="0" w:space="0" w:color="auto" w:frame="1"/>
            <w:lang w:eastAsia="ru-RU"/>
          </w:rPr>
          <w:t>донорским светофором</w:t>
        </w:r>
      </w:hyperlink>
      <w:r w:rsidR="0064219D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</w:t>
      </w:r>
    </w:p>
    <w:p w:rsidR="006B5193" w:rsidRPr="0064219D" w:rsidRDefault="006B5193">
      <w:pPr>
        <w:rPr>
          <w:rFonts w:ascii="Times New Roman" w:hAnsi="Times New Roman" w:cs="Times New Roman"/>
        </w:rPr>
      </w:pPr>
    </w:p>
    <w:p w:rsidR="006B5193" w:rsidRPr="006B5193" w:rsidRDefault="006B5193" w:rsidP="006B5193">
      <w:pPr>
        <w:shd w:val="clear" w:color="auto" w:fill="F9FAFC"/>
        <w:spacing w:after="510" w:line="828" w:lineRule="atLeast"/>
        <w:outlineLvl w:val="0"/>
        <w:rPr>
          <w:rFonts w:ascii="Times New Roman" w:eastAsia="Times New Roman" w:hAnsi="Times New Roman" w:cs="Times New Roman"/>
          <w:color w:val="555555"/>
          <w:kern w:val="36"/>
          <w:sz w:val="56"/>
          <w:szCs w:val="69"/>
          <w:lang w:eastAsia="ru-RU"/>
        </w:rPr>
      </w:pPr>
      <w:r w:rsidRPr="006B5193">
        <w:rPr>
          <w:rFonts w:ascii="Times New Roman" w:eastAsia="Times New Roman" w:hAnsi="Times New Roman" w:cs="Times New Roman"/>
          <w:color w:val="555555"/>
          <w:kern w:val="36"/>
          <w:sz w:val="56"/>
          <w:szCs w:val="69"/>
          <w:lang w:eastAsia="ru-RU"/>
        </w:rPr>
        <w:lastRenderedPageBreak/>
        <w:t>Противопоказания к донорству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Стать донором может практически любой здоровый человек, если он старше 18 лет, не имеет противопоказаний к донорству, а его вес больше 50 кг.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С другой стороны, стать донором крови и ее компонентов может только Человек с большой буквы. Человек, который готов встать пораньше, </w:t>
      </w: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потратить свое время, чтобы спасти чью-то жизнь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</w:t>
      </w:r>
    </w:p>
    <w:p w:rsidR="006B5193" w:rsidRPr="006B5193" w:rsidRDefault="006B5193" w:rsidP="006B5193">
      <w:pPr>
        <w:shd w:val="clear" w:color="auto" w:fill="F9FAFC"/>
        <w:spacing w:before="450" w:after="450" w:line="540" w:lineRule="atLeast"/>
        <w:outlineLvl w:val="1"/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t>ПРОТИВОПОКАЗАНИЯ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При каждом визите в учреждение </w:t>
      </w:r>
      <w:proofErr w:type="spellStart"/>
      <w:proofErr w:type="gram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C</w:t>
      </w:r>
      <w:proofErr w:type="gram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лужбы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крови потенциальный донор проходит бесплатное медицинское обследование, которое включает в себя приема врачом-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трансфузиологом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и предварительное лабораторное исследование.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При этом есть ряд противопоказаний к донорству: постоянных, то есть независящих от давности заболевания и результатов лечения, и временных — действующих лишь определенный срок.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hyperlink r:id="rId8" w:anchor="abs1" w:history="1">
        <w:r w:rsidRPr="006B5193">
          <w:rPr>
            <w:rFonts w:ascii="Times New Roman" w:eastAsia="Times New Roman" w:hAnsi="Times New Roman" w:cs="Times New Roman"/>
            <w:bCs/>
            <w:color w:val="E9392C"/>
            <w:sz w:val="28"/>
            <w:szCs w:val="30"/>
            <w:u w:val="single"/>
            <w:bdr w:val="none" w:sz="0" w:space="0" w:color="auto" w:frame="1"/>
            <w:lang w:eastAsia="ru-RU"/>
          </w:rPr>
          <w:t>Постоянными</w:t>
        </w:r>
      </w:hyperlink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 противопоказаниями является наличие таких серьезных заболеваний как инфекционные и паразитарные болезни, онкологические заболевания, болезни крови, а также ряд других состояний.</w:t>
      </w:r>
    </w:p>
    <w:p w:rsidR="006B5193" w:rsidRPr="006B5193" w:rsidRDefault="006B5193" w:rsidP="006B5193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 xml:space="preserve">Возможно, Вы будете разочарованы тем, что не сможете совершить </w:t>
      </w:r>
      <w:proofErr w:type="spellStart"/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донацию</w:t>
      </w:r>
      <w:proofErr w:type="spellEnd"/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 xml:space="preserve"> при наличии абсолютных противопоказаний.</w:t>
      </w: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br/>
        <w:t>Однако Служба крови надеется, что Вы поймете нашу главную задачу — обеспечение безопасности компонентов донорской крови для пациентов.</w:t>
      </w:r>
    </w:p>
    <w:p w:rsidR="006B5193" w:rsidRPr="006B5193" w:rsidRDefault="006B5193" w:rsidP="006B51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Наличие противопоказаний к донорству не означает, что Вы не можете внести свой вклад в развитие добровольного донорства крови!</w:t>
      </w: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br/>
        <w:t>В разделе «</w:t>
      </w:r>
      <w:hyperlink r:id="rId9" w:history="1">
        <w:r w:rsidRPr="006B5193">
          <w:rPr>
            <w:rFonts w:ascii="Times New Roman" w:eastAsia="Times New Roman" w:hAnsi="Times New Roman" w:cs="Times New Roman"/>
            <w:bCs/>
            <w:color w:val="00648F"/>
            <w:sz w:val="28"/>
            <w:szCs w:val="30"/>
            <w:u w:val="single"/>
            <w:bdr w:val="none" w:sz="0" w:space="0" w:color="auto" w:frame="1"/>
            <w:lang w:eastAsia="ru-RU"/>
          </w:rPr>
          <w:t>Волонтерам</w:t>
        </w:r>
      </w:hyperlink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» Вы можете узнать, как помочь Донорскому движению. Спасайте жизни вместе со Службой крови!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hyperlink r:id="rId10" w:anchor="abs2" w:history="1">
        <w:r w:rsidRPr="006B5193">
          <w:rPr>
            <w:rFonts w:ascii="Times New Roman" w:eastAsia="Times New Roman" w:hAnsi="Times New Roman" w:cs="Times New Roman"/>
            <w:bCs/>
            <w:color w:val="E9392C"/>
            <w:sz w:val="28"/>
            <w:szCs w:val="30"/>
            <w:u w:val="single"/>
            <w:bdr w:val="none" w:sz="0" w:space="0" w:color="auto" w:frame="1"/>
            <w:lang w:eastAsia="ru-RU"/>
          </w:rPr>
          <w:t>Временные</w:t>
        </w:r>
      </w:hyperlink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 противопоказания имеют различные сроки в зависимости от причины. Самыми распространенными запретами являются: нанесение татуировки, пирсинг или лечение иглоукалыванием (120 календарных дней), ангина, грипп, ОРВИ (30 календарных дней после выздоровления), период беременности и лактации (1 год после родов, 90 календарных дней после окончания лактации), прививки.</w:t>
      </w:r>
    </w:p>
    <w:p w:rsidR="0064219D" w:rsidRDefault="0064219D" w:rsidP="006B5193">
      <w:pPr>
        <w:shd w:val="clear" w:color="auto" w:fill="F9FAFC"/>
        <w:spacing w:before="450" w:after="450" w:line="540" w:lineRule="atLeast"/>
        <w:outlineLvl w:val="1"/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</w:pPr>
    </w:p>
    <w:p w:rsidR="006B5193" w:rsidRPr="006B5193" w:rsidRDefault="006B5193" w:rsidP="006B5193">
      <w:pPr>
        <w:shd w:val="clear" w:color="auto" w:fill="F9FAFC"/>
        <w:spacing w:before="450" w:after="450" w:line="540" w:lineRule="atLeast"/>
        <w:outlineLvl w:val="1"/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44"/>
          <w:szCs w:val="45"/>
          <w:lang w:eastAsia="ru-RU"/>
        </w:rPr>
        <w:lastRenderedPageBreak/>
        <w:t>Перечень медицинских противопоказаний для сдачи крови и ее компонентов</w:t>
      </w:r>
    </w:p>
    <w:p w:rsidR="006B5193" w:rsidRPr="006B5193" w:rsidRDefault="006B5193" w:rsidP="0064219D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proofErr w:type="gramStart"/>
      <w:r w:rsidRPr="006B519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(согласно Приказу Министерства здравоохранения Российской Федерации от 28 октября 2020 г. </w:t>
      </w:r>
      <w:proofErr w:type="gramEnd"/>
      <w:r w:rsidRPr="006B519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№1166н «Об утверждении порядка прохождения донорами медицинского обследования и перечня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противопоказаний, от донорства крови и (или) ее компонентов»)</w:t>
      </w:r>
      <w:bookmarkStart w:id="0" w:name="_GoBack"/>
      <w:bookmarkEnd w:id="0"/>
    </w:p>
    <w:p w:rsidR="006B5193" w:rsidRPr="006B5193" w:rsidRDefault="006B5193" w:rsidP="006B5193">
      <w:pPr>
        <w:shd w:val="clear" w:color="auto" w:fill="F9FAFC"/>
        <w:spacing w:after="0" w:line="540" w:lineRule="atLeast"/>
        <w:outlineLvl w:val="1"/>
        <w:rPr>
          <w:rFonts w:ascii="Times New Roman" w:eastAsia="Times New Roman" w:hAnsi="Times New Roman" w:cs="Times New Roman"/>
          <w:color w:val="E9392C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E9392C"/>
          <w:sz w:val="44"/>
          <w:szCs w:val="45"/>
          <w:lang w:eastAsia="ru-RU"/>
        </w:rPr>
        <w:t>Постоянные медицинские противопоказания</w:t>
      </w:r>
      <w:bookmarkStart w:id="1" w:name="abs1"/>
      <w:bookmarkEnd w:id="1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1. Инфекционные и паразитарные болезни: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2. Злокачественные новообразования.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3. Болезни крови, кроветворных органов и отдельные нарушения, вовлекающие иммунный механизм.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4. Болезни центральной нервной системы (органические нарушения).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5. Полное отсутствие слуха и (или) речи, и (или) зрения.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6.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7. Психические расстройства и расстройства поведения, вызванные употреблением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психоактивных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веществ.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8. Болезни системы кровообращения: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9. Болезни органов дыхания: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10. Болезни органов пищеварения: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11. Болезни мочеполовой системы в стадии декомпенсации: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12. Болезни соединительной ткани, а также острый и (или) хронический остеомиелит.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13. Лучевая болезнь.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14. Болезни эндокринной системы в стадии декомпенсации.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15. Болезни глаза и его придаточного аппарата: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16. Болезни кожи и подкожной клетчатки: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17. </w:t>
      </w:r>
      <w:proofErr w:type="gram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Оперативные вмешательства (резекция, ампутация, удаление органа (желудок, почка, селезенка, яичники, матка и прочее)), трансплантация органов и тканей, повлекшие стойкую утрату трудоспособности (I и II группа инвалидности), ксенотрансплантация органов.</w:t>
      </w:r>
      <w:proofErr w:type="gramEnd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18. Стойкая утрата трудоспособности (I и II группа инвалидности).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19. Женский пол донора для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2 единиц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эритроцитной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массы или взвеси, полученной методом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афереза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20. Лица с повторными неспецифическими реакциями на маркеры вирусов иммунодефицита человека, гепатитов B и C и возбудителя сифилиса.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21. Лица с повторно выявленными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аллоиммунными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антителами к антигенам эритроцитов (за исключением доноров плазмы для производства лекарственных препаратов).</w:t>
      </w:r>
    </w:p>
    <w:p w:rsidR="006B5193" w:rsidRPr="006B5193" w:rsidRDefault="006B5193" w:rsidP="006B5193">
      <w:pPr>
        <w:shd w:val="clear" w:color="auto" w:fill="F9FAFC"/>
        <w:spacing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22. Лица с повторно </w:t>
      </w:r>
      <w:proofErr w:type="gram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выявленными</w:t>
      </w:r>
      <w:proofErr w:type="gram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экстраагглютининами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анти-A1 (за исключением доноров плазмы для производства лекарственных препаратов).</w:t>
      </w:r>
    </w:p>
    <w:p w:rsidR="006B5193" w:rsidRPr="006B5193" w:rsidRDefault="006B5193" w:rsidP="006B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lastRenderedPageBreak/>
        <w:br/>
      </w:r>
    </w:p>
    <w:p w:rsidR="006B5193" w:rsidRPr="006B5193" w:rsidRDefault="006B5193" w:rsidP="006B5193">
      <w:pPr>
        <w:shd w:val="clear" w:color="auto" w:fill="F9FAFC"/>
        <w:spacing w:after="0" w:line="540" w:lineRule="atLeast"/>
        <w:outlineLvl w:val="1"/>
        <w:rPr>
          <w:rFonts w:ascii="Times New Roman" w:eastAsia="Times New Roman" w:hAnsi="Times New Roman" w:cs="Times New Roman"/>
          <w:color w:val="E9392C"/>
          <w:sz w:val="44"/>
          <w:szCs w:val="45"/>
          <w:lang w:eastAsia="ru-RU"/>
        </w:rPr>
      </w:pPr>
      <w:r w:rsidRPr="006B5193">
        <w:rPr>
          <w:rFonts w:ascii="Times New Roman" w:eastAsia="Times New Roman" w:hAnsi="Times New Roman" w:cs="Times New Roman"/>
          <w:color w:val="E9392C"/>
          <w:sz w:val="44"/>
          <w:szCs w:val="45"/>
          <w:lang w:eastAsia="ru-RU"/>
        </w:rPr>
        <w:t>Временные противопоказания</w:t>
      </w:r>
      <w:bookmarkStart w:id="2" w:name="abs2"/>
      <w:bookmarkEnd w:id="2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Наименования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Срок отвода от донорства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Масса тела менее 50 кг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достижения массы тела 50 кг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Возраст младше 20 лет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</w:r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для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 2 единиц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эритроцитной</w:t>
      </w:r>
      <w:proofErr w:type="spellEnd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 массы или взвеси, полученной методом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афереза</w:t>
      </w:r>
      <w:proofErr w:type="spellEnd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достижения 20 лет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Масса тела менее 70 кг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</w:r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для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 2 единиц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эритроцитной</w:t>
      </w:r>
      <w:proofErr w:type="spellEnd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 массы или взвеси, полученной методом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афереза</w:t>
      </w:r>
      <w:proofErr w:type="spellEnd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достижения массы тела 70 кг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Гемоглобин менее 140 г/л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</w:r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для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донации</w:t>
      </w:r>
      <w:proofErr w:type="spellEnd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 2 единиц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эритроцитной</w:t>
      </w:r>
      <w:proofErr w:type="spellEnd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 xml:space="preserve"> массы или взвеси, полученной методом </w:t>
      </w:r>
      <w:proofErr w:type="spellStart"/>
      <w:r w:rsidRPr="006B5193">
        <w:rPr>
          <w:rFonts w:ascii="Times New Roman" w:eastAsia="Times New Roman" w:hAnsi="Times New Roman" w:cs="Times New Roman"/>
          <w:i/>
          <w:iCs/>
          <w:color w:val="161616"/>
          <w:sz w:val="28"/>
          <w:szCs w:val="30"/>
          <w:lang w:eastAsia="ru-RU"/>
        </w:rPr>
        <w:t>афереза</w:t>
      </w:r>
      <w:proofErr w:type="spellEnd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достижения уровня гемоглобина 140 г/л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Температура тела выше 37 °C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нормализации температуры тела (37 °C и ниже)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Пульс - менее 55 ударов в минуту и более 95 ударов в минуту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нормализации пульса от 55 до 95 ударов в минуту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Артериальное давление: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  <w:t>систолическое менее 90 мм рт. ст. и более 149 мм рт. ст.;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  <w:t>диастолическое - менее 60 мм рт. ст. и более 89 мм рт. ст.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нормализации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  <w:t>систолического давления: 90 - 149 мм рт. ст.;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br/>
        <w:t>диастолического давления: 60 - 89 мм рт. ст.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Индекс массы тела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Менее 18,5 и более 40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Несовпадение результатов исследования группы крови AB0, резус-принадлежности, антигенов C, c, E, e, K с результатами исследования </w:t>
      </w:r>
      <w:proofErr w:type="gram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при</w:t>
      </w:r>
      <w:proofErr w:type="gram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предыдущей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донации</w:t>
      </w:r>
      <w:proofErr w:type="spellEnd"/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выполнения подтверждающего исследования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Трансфузия крови и (или) ее компонентов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120 календарных дней со дня трансфузии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Первичное выявление в образце крови донора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аллоиммунных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антител к антигенам эритроцитов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До подтверждения отсутствия в образце крови донора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аллоиммунных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 антител к антигенам эритроцитов не ранее, чем через 180 календарных дней после первичного выявления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Оперативные вмешательства, в том числе искусственное прерывание беременности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120 календарных дней со дня оперативного вмешательства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Лечебные и косметические процедуры с нарушением кожного покрова (татуировки, пирсинг, иглоукалывание и иное)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lastRenderedPageBreak/>
        <w:t>120 календарных дней с момента окончания процедур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подтверждения отсутствия маркеров вирусного гепатита B и (или) вирусного гепатита C, и (или) болезни, вызванной вирусом иммунодефицита человека (ВИЧ-инфекция), и (или) на возбудителя сифилиса, но не ранее, чем через 120 календарных дней после получения сомнительного результата лабораторного исследования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120 календарных дней после прекращения последнего контакта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Сомнительный результат на маркеры вирусного гепатита B и (или) вирусного гепатита C, и (или) болезни, вызванной вирусом иммунодефицита человека (ВИЧ-инфекция), и (или) на возбудителя сифилиса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До подтверждения отсутствия маркеров вирусного гепатита B и (или) вирусного гепатита C, и (или) болезни, вызванной вирусом иммунодефицита человека (ВИЧ-инфекция), и (или) на возбудителя сифилиса, но не ранее, чем через 120 календарных дней после получения сомнительного результата лабораторного исследования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Перенесенные инфекционные заболевания: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Перенесенные инфекционные и паразитарные заболевания, не указанные в перечне постоянных и временных противопоказаний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120 календарных дней после выздоровления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Острые или хронические воспалительные процессы в стадии обострения независимо от локализации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30 календарных дней после купирования острого периода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Обострение язвы желудка и (или) двенадцатиперстной кишки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 год с момента купирования острого периода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Болезни почек, не указанные в пункте 12 перечня постоянных противопоказаний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 год с момента купирования острого периода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Аллергические заболевания в стадии обострения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60 календарных дней после купирования острого периода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Период беременности, лактации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1 год после родов, 90 календарных дней после окончания лактации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Вакцинация: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Прием лекарственных препаратов: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Прием алкоголя</w:t>
      </w:r>
    </w:p>
    <w:p w:rsidR="006B5193" w:rsidRPr="006B5193" w:rsidRDefault="006B5193" w:rsidP="006B5193">
      <w:pPr>
        <w:shd w:val="clear" w:color="auto" w:fill="F9FAFC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48 часов</w:t>
      </w:r>
    </w:p>
    <w:p w:rsidR="006B5193" w:rsidRPr="006B5193" w:rsidRDefault="006B5193" w:rsidP="006B5193">
      <w:pPr>
        <w:shd w:val="clear" w:color="auto" w:fill="F9FAFC"/>
        <w:spacing w:line="240" w:lineRule="auto"/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color w:val="00648F"/>
          <w:sz w:val="28"/>
          <w:szCs w:val="30"/>
          <w:lang w:eastAsia="ru-RU"/>
        </w:rPr>
        <w:t>Отклонение пределов состава и биохимических показателей периферической крови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proofErr w:type="spellStart"/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Гемотрансмиссивные</w:t>
      </w:r>
      <w:proofErr w:type="spellEnd"/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 xml:space="preserve"> заболевания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 — инфекционные заболевания, возбудитель которых может передаваться с донорской кровью или ее компонентами.</w:t>
      </w:r>
    </w:p>
    <w:p w:rsidR="006B5193" w:rsidRPr="006B5193" w:rsidRDefault="006B5193" w:rsidP="006B5193">
      <w:pPr>
        <w:shd w:val="clear" w:color="auto" w:fill="F9FAFC"/>
        <w:spacing w:before="390" w:after="390" w:line="240" w:lineRule="auto"/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</w:pPr>
      <w:r w:rsidRPr="006B5193">
        <w:rPr>
          <w:rFonts w:ascii="Times New Roman" w:eastAsia="Times New Roman" w:hAnsi="Times New Roman" w:cs="Times New Roman"/>
          <w:bCs/>
          <w:color w:val="161616"/>
          <w:sz w:val="28"/>
          <w:szCs w:val="30"/>
          <w:lang w:eastAsia="ru-RU"/>
        </w:rPr>
        <w:t>Трансфузия</w:t>
      </w:r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 xml:space="preserve"> — (от латинского </w:t>
      </w:r>
      <w:proofErr w:type="spellStart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tranfusio</w:t>
      </w:r>
      <w:proofErr w:type="spellEnd"/>
      <w:r w:rsidRPr="006B5193">
        <w:rPr>
          <w:rFonts w:ascii="Times New Roman" w:eastAsia="Times New Roman" w:hAnsi="Times New Roman" w:cs="Times New Roman"/>
          <w:color w:val="161616"/>
          <w:sz w:val="28"/>
          <w:szCs w:val="30"/>
          <w:lang w:eastAsia="ru-RU"/>
        </w:rPr>
        <w:t> — «переливание») — операция по переливанию компонентов или препаратов донорской крови реципиенту.</w:t>
      </w:r>
    </w:p>
    <w:p w:rsidR="006B5193" w:rsidRPr="0064219D" w:rsidRDefault="006B5193">
      <w:pPr>
        <w:rPr>
          <w:rFonts w:ascii="Times New Roman" w:hAnsi="Times New Roman" w:cs="Times New Roman"/>
        </w:rPr>
      </w:pPr>
    </w:p>
    <w:sectPr w:rsidR="006B5193" w:rsidRPr="0064219D" w:rsidSect="006B519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46EA"/>
    <w:multiLevelType w:val="multilevel"/>
    <w:tmpl w:val="7AA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3381D"/>
    <w:multiLevelType w:val="multilevel"/>
    <w:tmpl w:val="D8D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94"/>
    <w:rsid w:val="0064219D"/>
    <w:rsid w:val="006B5193"/>
    <w:rsid w:val="00870F94"/>
    <w:rsid w:val="00F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939">
          <w:marLeft w:val="0"/>
          <w:marRight w:val="0"/>
          <w:marTop w:val="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07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688">
          <w:marLeft w:val="0"/>
          <w:marRight w:val="0"/>
          <w:marTop w:val="495"/>
          <w:marBottom w:val="51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757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026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364186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6653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807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394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810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587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7525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502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5578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5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238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971290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412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356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7978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802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6597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84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166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677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804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183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5485">
          <w:marLeft w:val="0"/>
          <w:marRight w:val="0"/>
          <w:marTop w:val="495"/>
          <w:marBottom w:val="51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94241954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80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66685895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49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360665720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312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63522587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568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798308037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22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6222068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03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220865593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80027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9746923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294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209809340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733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3165742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1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36540447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83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3165781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27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431464946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214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737512443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08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72479099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822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2132162884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730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7236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509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2638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306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834538184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9868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41602657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818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430784535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49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586378121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7470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604607668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456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11767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110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949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455309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153">
              <w:marLeft w:val="0"/>
              <w:marRight w:val="0"/>
              <w:marTop w:val="0"/>
              <w:marBottom w:val="0"/>
              <w:divBdr>
                <w:top w:val="single" w:sz="6" w:space="18" w:color="C8C8C8"/>
                <w:left w:val="single" w:sz="6" w:space="23" w:color="C8C8C8"/>
                <w:bottom w:val="none" w:sz="0" w:space="18" w:color="auto"/>
                <w:right w:val="none" w:sz="0" w:space="23" w:color="auto"/>
              </w:divBdr>
            </w:div>
            <w:div w:id="5946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684">
                  <w:marLeft w:val="0"/>
                  <w:marRight w:val="0"/>
                  <w:marTop w:val="0"/>
                  <w:marBottom w:val="0"/>
                  <w:divBdr>
                    <w:top w:val="single" w:sz="6" w:space="18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onor.ru/donorstvo/become/contraindica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onor.ru/donorstvo/gde-sdat/map-ligh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onor.ru/donorstvo/gde-sdat/wher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onor.ru/donorstvo/become/contraind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onor.ru/donorstvo/join/volunte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Базнамина В В</dc:creator>
  <cp:lastModifiedBy>Базнамина В В</cp:lastModifiedBy>
  <cp:revision>2</cp:revision>
  <dcterms:created xsi:type="dcterms:W3CDTF">2022-12-26T07:53:00Z</dcterms:created>
  <dcterms:modified xsi:type="dcterms:W3CDTF">2022-12-26T07:53:00Z</dcterms:modified>
</cp:coreProperties>
</file>